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63A28" w14:textId="77777777" w:rsidR="00017083" w:rsidRPr="00E53ACE" w:rsidRDefault="00E53ACE" w:rsidP="006242AA">
      <w:pPr>
        <w:pStyle w:val="a3"/>
        <w:jc w:val="center"/>
        <w:rPr>
          <w:lang w:val="en-US"/>
        </w:rPr>
      </w:pPr>
      <w:r>
        <w:rPr>
          <w:lang w:val="en-US"/>
        </w:rPr>
        <w:t>Corporate action notice/Insider information disclosure</w:t>
      </w:r>
    </w:p>
    <w:p w14:paraId="1F41FD2E" w14:textId="77777777" w:rsidR="00017083" w:rsidRPr="00E53ACE" w:rsidRDefault="00E53ACE" w:rsidP="006242AA">
      <w:pPr>
        <w:pStyle w:val="a3"/>
        <w:jc w:val="center"/>
        <w:rPr>
          <w:lang w:val="en-US"/>
        </w:rPr>
      </w:pPr>
      <w:r>
        <w:rPr>
          <w:lang w:val="en-US"/>
        </w:rPr>
        <w:t>"Information on resolutions taken by the Board of Directors of IDGC of the South, PJSC"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3"/>
        <w:gridCol w:w="912"/>
        <w:gridCol w:w="1304"/>
        <w:gridCol w:w="857"/>
        <w:gridCol w:w="1202"/>
        <w:gridCol w:w="1431"/>
        <w:gridCol w:w="2821"/>
      </w:tblGrid>
      <w:tr w:rsidR="00AD650B" w14:paraId="618E46C2" w14:textId="77777777" w:rsidTr="006242AA">
        <w:trPr>
          <w:trHeight w:val="20"/>
        </w:trPr>
        <w:tc>
          <w:tcPr>
            <w:tcW w:w="5000" w:type="pct"/>
            <w:gridSpan w:val="7"/>
          </w:tcPr>
          <w:p w14:paraId="419A8FDF" w14:textId="77777777" w:rsidR="00017083" w:rsidRDefault="00E53ACE" w:rsidP="005028E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AD650B" w:rsidRPr="00E53ACE" w14:paraId="2A96FB36" w14:textId="77777777" w:rsidTr="006242AA">
        <w:trPr>
          <w:trHeight w:val="20"/>
        </w:trPr>
        <w:tc>
          <w:tcPr>
            <w:tcW w:w="2206" w:type="pct"/>
            <w:gridSpan w:val="4"/>
          </w:tcPr>
          <w:p w14:paraId="2A3D7E22" w14:textId="77777777" w:rsidR="00017083" w:rsidRPr="00E53ACE" w:rsidRDefault="00E53ACE" w:rsidP="006242AA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794" w:type="pct"/>
            <w:gridSpan w:val="3"/>
          </w:tcPr>
          <w:p w14:paraId="141CA948" w14:textId="77777777" w:rsidR="00017083" w:rsidRPr="00E53ACE" w:rsidRDefault="00E53ACE" w:rsidP="006242AA">
            <w:pPr>
              <w:pStyle w:val="TableParagraph"/>
              <w:tabs>
                <w:tab w:val="left" w:pos="2083"/>
                <w:tab w:val="left" w:pos="4194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Public Joint Stock Company "Interregional </w:t>
            </w:r>
            <w:r>
              <w:rPr>
                <w:b/>
                <w:sz w:val="24"/>
                <w:lang w:val="en-US"/>
              </w:rPr>
              <w:t>Distribution Grid Company of the South”</w:t>
            </w:r>
          </w:p>
        </w:tc>
      </w:tr>
      <w:tr w:rsidR="00AD650B" w:rsidRPr="00E53ACE" w14:paraId="297AFB59" w14:textId="77777777" w:rsidTr="006242AA">
        <w:trPr>
          <w:trHeight w:val="20"/>
        </w:trPr>
        <w:tc>
          <w:tcPr>
            <w:tcW w:w="2206" w:type="pct"/>
            <w:gridSpan w:val="4"/>
          </w:tcPr>
          <w:p w14:paraId="7D30081A" w14:textId="77777777" w:rsidR="00017083" w:rsidRPr="00E53ACE" w:rsidRDefault="00E53ACE" w:rsidP="006242AA">
            <w:pPr>
              <w:pStyle w:val="TableParagraph"/>
              <w:tabs>
                <w:tab w:val="left" w:pos="2935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794" w:type="pct"/>
            <w:gridSpan w:val="3"/>
          </w:tcPr>
          <w:p w14:paraId="36B3C435" w14:textId="77777777" w:rsidR="00017083" w:rsidRPr="00E53ACE" w:rsidRDefault="00E53ACE" w:rsidP="006242AA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AD650B" w:rsidRPr="00E53ACE" w14:paraId="78BF4D01" w14:textId="77777777" w:rsidTr="006242AA">
        <w:trPr>
          <w:trHeight w:val="20"/>
        </w:trPr>
        <w:tc>
          <w:tcPr>
            <w:tcW w:w="2206" w:type="pct"/>
            <w:gridSpan w:val="4"/>
          </w:tcPr>
          <w:p w14:paraId="6E0953DB" w14:textId="77777777" w:rsidR="00017083" w:rsidRDefault="00E53ACE" w:rsidP="006242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794" w:type="pct"/>
            <w:gridSpan w:val="3"/>
          </w:tcPr>
          <w:p w14:paraId="76E2E02E" w14:textId="77777777" w:rsidR="00017083" w:rsidRPr="00E53ACE" w:rsidRDefault="00E53ACE" w:rsidP="006242AA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AD650B" w14:paraId="371983D5" w14:textId="77777777" w:rsidTr="006242AA">
        <w:trPr>
          <w:trHeight w:val="20"/>
        </w:trPr>
        <w:tc>
          <w:tcPr>
            <w:tcW w:w="2206" w:type="pct"/>
            <w:gridSpan w:val="4"/>
          </w:tcPr>
          <w:p w14:paraId="5DFA08C9" w14:textId="77777777" w:rsidR="00017083" w:rsidRDefault="00E53ACE" w:rsidP="006242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794" w:type="pct"/>
            <w:gridSpan w:val="3"/>
          </w:tcPr>
          <w:p w14:paraId="5C2FF6BC" w14:textId="77777777" w:rsidR="00017083" w:rsidRDefault="00E53ACE" w:rsidP="006242A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AD650B" w14:paraId="5FD90E0D" w14:textId="77777777" w:rsidTr="006242AA">
        <w:trPr>
          <w:trHeight w:val="20"/>
        </w:trPr>
        <w:tc>
          <w:tcPr>
            <w:tcW w:w="2206" w:type="pct"/>
            <w:gridSpan w:val="4"/>
          </w:tcPr>
          <w:p w14:paraId="68E34DAE" w14:textId="77777777" w:rsidR="00017083" w:rsidRDefault="00E53ACE" w:rsidP="006242A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794" w:type="pct"/>
            <w:gridSpan w:val="3"/>
          </w:tcPr>
          <w:p w14:paraId="7327FB1A" w14:textId="77777777" w:rsidR="00017083" w:rsidRDefault="00E53ACE" w:rsidP="006242A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AD650B" w14:paraId="66692AE3" w14:textId="77777777" w:rsidTr="006242AA">
        <w:trPr>
          <w:trHeight w:val="20"/>
        </w:trPr>
        <w:tc>
          <w:tcPr>
            <w:tcW w:w="2206" w:type="pct"/>
            <w:gridSpan w:val="4"/>
          </w:tcPr>
          <w:p w14:paraId="24FD016F" w14:textId="77777777" w:rsidR="00017083" w:rsidRPr="00E53ACE" w:rsidRDefault="00E53ACE" w:rsidP="006242AA">
            <w:pPr>
              <w:pStyle w:val="TableParagraph"/>
              <w:tabs>
                <w:tab w:val="left" w:pos="2307"/>
                <w:tab w:val="left" w:pos="3086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794" w:type="pct"/>
            <w:gridSpan w:val="3"/>
            <w:vAlign w:val="center"/>
          </w:tcPr>
          <w:p w14:paraId="192CCAB4" w14:textId="77777777" w:rsidR="00017083" w:rsidRDefault="00E53ACE" w:rsidP="006242A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AD650B" w:rsidRPr="00E53ACE" w14:paraId="4AD247D1" w14:textId="77777777" w:rsidTr="006242AA">
        <w:trPr>
          <w:trHeight w:val="20"/>
        </w:trPr>
        <w:tc>
          <w:tcPr>
            <w:tcW w:w="2206" w:type="pct"/>
            <w:gridSpan w:val="4"/>
          </w:tcPr>
          <w:p w14:paraId="6B9F3BF3" w14:textId="77777777" w:rsidR="00017083" w:rsidRPr="00E53ACE" w:rsidRDefault="00E53ACE" w:rsidP="006242AA">
            <w:pPr>
              <w:pStyle w:val="TableParagraph"/>
              <w:tabs>
                <w:tab w:val="left" w:pos="2112"/>
                <w:tab w:val="left" w:pos="3727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 of the Internet page used by the Issuer for information disclosures</w:t>
            </w:r>
          </w:p>
        </w:tc>
        <w:tc>
          <w:tcPr>
            <w:tcW w:w="2794" w:type="pct"/>
            <w:gridSpan w:val="3"/>
            <w:vAlign w:val="center"/>
          </w:tcPr>
          <w:p w14:paraId="56CBD249" w14:textId="77777777" w:rsidR="006242AA" w:rsidRPr="00E53ACE" w:rsidRDefault="00E53ACE" w:rsidP="006242AA">
            <w:pPr>
              <w:pStyle w:val="TableParagraph"/>
              <w:ind w:left="0"/>
              <w:rPr>
                <w:b/>
                <w:sz w:val="24"/>
                <w:u w:val="single"/>
                <w:lang w:val="en-US"/>
              </w:rPr>
            </w:pPr>
            <w:hyperlink r:id="rId7" w:history="1">
              <w:r w:rsidRPr="006242AA">
                <w:rPr>
                  <w:b/>
                  <w:sz w:val="24"/>
                  <w:u w:val="single"/>
                  <w:lang w:val="en-US"/>
                </w:rPr>
                <w:t>http://www.mrsk-yuga.ru</w:t>
              </w:r>
            </w:hyperlink>
            <w:r w:rsidRPr="006242AA">
              <w:rPr>
                <w:b/>
                <w:sz w:val="24"/>
                <w:u w:val="single"/>
                <w:lang w:val="en-US"/>
              </w:rPr>
              <w:t xml:space="preserve"> </w:t>
            </w:r>
          </w:p>
          <w:p w14:paraId="644F21D8" w14:textId="77777777" w:rsidR="00017083" w:rsidRPr="00E53ACE" w:rsidRDefault="00E53ACE" w:rsidP="006242AA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hyperlink r:id="rId8" w:history="1">
              <w:r w:rsidRPr="006242AA">
                <w:rPr>
                  <w:b/>
                  <w:sz w:val="24"/>
                  <w:u w:val="single"/>
                  <w:lang w:val="en-US"/>
                </w:rPr>
                <w:t>http://www.e-</w:t>
              </w:r>
            </w:hyperlink>
            <w:hyperlink r:id="rId9" w:history="1">
              <w:r w:rsidRPr="006242AA">
                <w:rPr>
                  <w:b/>
                  <w:sz w:val="24"/>
                  <w:u w:val="single"/>
                  <w:lang w:val="en-US"/>
                </w:rPr>
                <w:t>disclosure.ru/portal/company.aspx?id=11999</w:t>
              </w:r>
            </w:hyperlink>
          </w:p>
        </w:tc>
      </w:tr>
      <w:tr w:rsidR="00AD650B" w14:paraId="58AC603A" w14:textId="77777777" w:rsidTr="006242AA">
        <w:trPr>
          <w:trHeight w:val="20"/>
        </w:trPr>
        <w:tc>
          <w:tcPr>
            <w:tcW w:w="2206" w:type="pct"/>
            <w:gridSpan w:val="4"/>
          </w:tcPr>
          <w:p w14:paraId="0019E96F" w14:textId="77777777" w:rsidR="00017083" w:rsidRPr="00E53ACE" w:rsidRDefault="00E53ACE" w:rsidP="006242AA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</w:t>
            </w:r>
            <w:r>
              <w:rPr>
                <w:sz w:val="24"/>
                <w:lang w:val="en-US"/>
              </w:rPr>
              <w:t>material fact) of which the message is composed (if applicable):</w:t>
            </w:r>
          </w:p>
        </w:tc>
        <w:tc>
          <w:tcPr>
            <w:tcW w:w="2794" w:type="pct"/>
            <w:gridSpan w:val="3"/>
            <w:vAlign w:val="center"/>
          </w:tcPr>
          <w:p w14:paraId="7D1CE5E4" w14:textId="77777777" w:rsidR="00017083" w:rsidRDefault="00E53ACE" w:rsidP="006242AA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April 12, 2019</w:t>
            </w:r>
          </w:p>
        </w:tc>
      </w:tr>
      <w:tr w:rsidR="00AD650B" w14:paraId="2887E95E" w14:textId="77777777" w:rsidTr="006242AA">
        <w:trPr>
          <w:trHeight w:val="20"/>
        </w:trPr>
        <w:tc>
          <w:tcPr>
            <w:tcW w:w="5000" w:type="pct"/>
            <w:gridSpan w:val="7"/>
          </w:tcPr>
          <w:p w14:paraId="67F4770C" w14:textId="77777777" w:rsidR="00017083" w:rsidRDefault="00E53ACE" w:rsidP="005028E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AD650B" w14:paraId="3C35A3FA" w14:textId="77777777" w:rsidTr="006242AA">
        <w:trPr>
          <w:trHeight w:val="20"/>
        </w:trPr>
        <w:tc>
          <w:tcPr>
            <w:tcW w:w="5000" w:type="pct"/>
            <w:gridSpan w:val="7"/>
          </w:tcPr>
          <w:p w14:paraId="0110851B" w14:textId="77777777" w:rsidR="00017083" w:rsidRPr="00E53ACE" w:rsidRDefault="00E53ACE" w:rsidP="006242AA">
            <w:pPr>
              <w:pStyle w:val="TableParagraph"/>
              <w:ind w:left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2.1. Quorum for a meeting of the Issuer's Board of Directors and the results of voting on decision-making issues: </w:t>
            </w:r>
            <w:r>
              <w:rPr>
                <w:b/>
                <w:i/>
                <w:sz w:val="24"/>
                <w:lang w:val="en-US"/>
              </w:rPr>
              <w:t>11 out of 11 members of the Board of Directors participated in the meeting, a quorum is present.</w:t>
            </w:r>
          </w:p>
          <w:p w14:paraId="71CF1AFF" w14:textId="77777777" w:rsidR="00017083" w:rsidRPr="00E53ACE" w:rsidRDefault="00E53ACE" w:rsidP="006242AA">
            <w:pPr>
              <w:pStyle w:val="TableParagraph"/>
              <w:ind w:left="0"/>
              <w:rPr>
                <w:b/>
                <w:lang w:val="en-US"/>
              </w:rPr>
            </w:pPr>
          </w:p>
          <w:p w14:paraId="314B9FB3" w14:textId="77777777" w:rsidR="00017083" w:rsidRPr="00E53ACE" w:rsidRDefault="00E53ACE" w:rsidP="006242AA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Voting results:</w:t>
            </w:r>
          </w:p>
          <w:p w14:paraId="3D3A6D2B" w14:textId="77777777" w:rsidR="00017083" w:rsidRPr="00E53ACE" w:rsidRDefault="00E53ACE" w:rsidP="006242AA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on issue No. 1 of the </w:t>
            </w:r>
            <w:r>
              <w:rPr>
                <w:sz w:val="24"/>
                <w:lang w:val="en-US"/>
              </w:rPr>
              <w:t>agenda:</w:t>
            </w:r>
          </w:p>
          <w:p w14:paraId="057AEDFB" w14:textId="77777777" w:rsidR="00017083" w:rsidRPr="00E53ACE" w:rsidRDefault="00E53ACE" w:rsidP="006242AA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10 votes;</w:t>
            </w:r>
          </w:p>
          <w:p w14:paraId="5808641D" w14:textId="77777777" w:rsidR="00017083" w:rsidRPr="00E53ACE" w:rsidRDefault="00E53ACE" w:rsidP="006242AA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54F593A3" w14:textId="77777777" w:rsidR="00017083" w:rsidRPr="00E53ACE" w:rsidRDefault="00E53ACE" w:rsidP="006242AA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1 vote;</w:t>
            </w:r>
          </w:p>
          <w:p w14:paraId="6C2DABA7" w14:textId="77777777" w:rsidR="00017083" w:rsidRPr="00E53ACE" w:rsidRDefault="00E53ACE" w:rsidP="006242AA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14:paraId="2F1F24E6" w14:textId="77777777" w:rsidR="00017083" w:rsidRPr="00E53ACE" w:rsidRDefault="00E53ACE" w:rsidP="006242AA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on issue No. 2 of the </w:t>
            </w:r>
            <w:r>
              <w:rPr>
                <w:sz w:val="24"/>
                <w:lang w:val="en-US"/>
              </w:rPr>
              <w:t>agenda:</w:t>
            </w:r>
          </w:p>
          <w:p w14:paraId="58D74F83" w14:textId="77777777" w:rsidR="00017083" w:rsidRPr="00E53ACE" w:rsidRDefault="00E53ACE" w:rsidP="006242AA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11 votes;</w:t>
            </w:r>
          </w:p>
          <w:p w14:paraId="57124B20" w14:textId="77777777" w:rsidR="00017083" w:rsidRPr="00E53ACE" w:rsidRDefault="00E53ACE" w:rsidP="006242AA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14:paraId="73D8F219" w14:textId="77777777" w:rsidR="00017083" w:rsidRPr="00E53ACE" w:rsidRDefault="00E53ACE" w:rsidP="006242AA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0 votes;</w:t>
            </w:r>
          </w:p>
          <w:p w14:paraId="64CCA35D" w14:textId="77777777" w:rsidR="00017083" w:rsidRPr="00E53ACE" w:rsidRDefault="00E53ACE" w:rsidP="006242AA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14:paraId="19A41169" w14:textId="77777777" w:rsidR="00017083" w:rsidRPr="00E53ACE" w:rsidRDefault="00E53ACE" w:rsidP="006242AA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on issue No. 3 of the </w:t>
            </w:r>
            <w:r>
              <w:rPr>
                <w:sz w:val="24"/>
                <w:lang w:val="en-US"/>
              </w:rPr>
              <w:t>agenda:</w:t>
            </w:r>
          </w:p>
          <w:p w14:paraId="463CAED4" w14:textId="77777777" w:rsidR="00017083" w:rsidRPr="00E53ACE" w:rsidRDefault="00E53ACE" w:rsidP="006242AA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9 votes;</w:t>
            </w:r>
          </w:p>
          <w:p w14:paraId="210BD202" w14:textId="77777777" w:rsidR="00017083" w:rsidRPr="00E53ACE" w:rsidRDefault="00E53ACE" w:rsidP="006242AA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2 votes;</w:t>
            </w:r>
          </w:p>
          <w:p w14:paraId="5D846C25" w14:textId="77777777" w:rsidR="00017083" w:rsidRDefault="00E53ACE" w:rsidP="006242AA">
            <w:pPr>
              <w:pStyle w:val="TableParagraph"/>
              <w:ind w:left="0"/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"ABSTAIN" i</w:t>
            </w:r>
            <w:r>
              <w:rPr>
                <w:sz w:val="24"/>
                <w:lang w:val="en-US"/>
              </w:rPr>
              <w:t>s 0 votes.</w:t>
            </w:r>
          </w:p>
        </w:tc>
      </w:tr>
      <w:tr w:rsidR="00AD650B" w:rsidRPr="00E53ACE" w14:paraId="72A13A77" w14:textId="77777777" w:rsidTr="006242AA">
        <w:trPr>
          <w:trHeight w:val="20"/>
        </w:trPr>
        <w:tc>
          <w:tcPr>
            <w:tcW w:w="5000" w:type="pct"/>
            <w:gridSpan w:val="7"/>
          </w:tcPr>
          <w:p w14:paraId="70E0942B" w14:textId="77777777" w:rsidR="00017083" w:rsidRPr="00E53ACE" w:rsidRDefault="00E53ACE" w:rsidP="006242AA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Insider information disclosure on issue No. 1: On execution of the business plan of IDGC of the South, PJSC for 2018.</w:t>
            </w:r>
          </w:p>
        </w:tc>
      </w:tr>
      <w:tr w:rsidR="00AD650B" w:rsidRPr="00E53ACE" w14:paraId="1B3D191F" w14:textId="77777777" w:rsidTr="006242AA">
        <w:trPr>
          <w:trHeight w:val="20"/>
        </w:trPr>
        <w:tc>
          <w:tcPr>
            <w:tcW w:w="5000" w:type="pct"/>
            <w:gridSpan w:val="7"/>
          </w:tcPr>
          <w:p w14:paraId="2E4CE962" w14:textId="77777777" w:rsidR="00017083" w:rsidRPr="00E53ACE" w:rsidRDefault="00E53ACE" w:rsidP="006242AA">
            <w:pPr>
              <w:pStyle w:val="TableParagraph"/>
              <w:ind w:left="0" w:firstLine="4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2.2.1. Resolution content adopted by the Issuer's Board of Directors:</w:t>
            </w:r>
          </w:p>
          <w:p w14:paraId="57A21BB5" w14:textId="77777777" w:rsidR="00017083" w:rsidRPr="00E53ACE" w:rsidRDefault="00E53ACE" w:rsidP="006242AA">
            <w:pPr>
              <w:pStyle w:val="TableParagraph"/>
              <w:numPr>
                <w:ilvl w:val="0"/>
                <w:numId w:val="4"/>
              </w:numPr>
              <w:tabs>
                <w:tab w:val="left" w:pos="850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Take into consideration the report on </w:t>
            </w:r>
            <w:r>
              <w:rPr>
                <w:sz w:val="24"/>
                <w:lang w:val="en-US"/>
              </w:rPr>
              <w:t>execution of the business plan of IDGC of the South, PJSC for 2018 according to Annex No. 1 to this resolution of the Company's Board of Directors.</w:t>
            </w:r>
          </w:p>
          <w:p w14:paraId="010DD70F" w14:textId="77777777" w:rsidR="00017083" w:rsidRPr="00E53ACE" w:rsidRDefault="00E53ACE" w:rsidP="006242AA">
            <w:pPr>
              <w:pStyle w:val="TableParagraph"/>
              <w:numPr>
                <w:ilvl w:val="0"/>
                <w:numId w:val="4"/>
              </w:numPr>
              <w:tabs>
                <w:tab w:val="left" w:pos="936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Note, based on the results of the Company's work for 2018, the deviation of the actual indicators of the bus</w:t>
            </w:r>
            <w:r>
              <w:rPr>
                <w:sz w:val="24"/>
                <w:lang w:val="en-US"/>
              </w:rPr>
              <w:t>iness plan from the planned ones in accordance with Annex 2 hereto.</w:t>
            </w:r>
          </w:p>
          <w:p w14:paraId="0B0007EF" w14:textId="77777777" w:rsidR="00017083" w:rsidRPr="00E53ACE" w:rsidRDefault="00E53ACE" w:rsidP="006242AA">
            <w:pPr>
              <w:pStyle w:val="TableParagraph"/>
              <w:numPr>
                <w:ilvl w:val="0"/>
                <w:numId w:val="4"/>
              </w:numPr>
              <w:tabs>
                <w:tab w:val="left" w:pos="1045"/>
                <w:tab w:val="left" w:pos="1046"/>
                <w:tab w:val="left" w:pos="2314"/>
                <w:tab w:val="left" w:pos="4117"/>
                <w:tab w:val="left" w:pos="6211"/>
                <w:tab w:val="left" w:pos="7177"/>
                <w:tab w:val="left" w:pos="7978"/>
                <w:tab w:val="left" w:pos="9033"/>
              </w:tabs>
              <w:ind w:left="0" w:firstLine="4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Instruct the single executive body of IDGC of the South, PJSC to</w:t>
            </w:r>
          </w:p>
        </w:tc>
      </w:tr>
      <w:tr w:rsidR="00AD650B" w:rsidRPr="00E53ACE" w14:paraId="2845D528" w14:textId="77777777" w:rsidTr="006242AA">
        <w:trPr>
          <w:trHeight w:val="20"/>
        </w:trPr>
        <w:tc>
          <w:tcPr>
            <w:tcW w:w="5000" w:type="pct"/>
            <w:gridSpan w:val="7"/>
          </w:tcPr>
          <w:p w14:paraId="11F96935" w14:textId="77777777" w:rsidR="00017083" w:rsidRPr="00E53ACE" w:rsidRDefault="00E53ACE" w:rsidP="006242AA">
            <w:pPr>
              <w:pStyle w:val="TableParagraph"/>
              <w:ind w:left="0" w:firstLine="4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intensify the work on registration of property rights in 2019, taking into account the volumes not completed in 2018.</w:t>
            </w:r>
          </w:p>
        </w:tc>
      </w:tr>
      <w:tr w:rsidR="00AD650B" w:rsidRPr="00E53ACE" w14:paraId="55061406" w14:textId="77777777" w:rsidTr="006242AA">
        <w:trPr>
          <w:trHeight w:val="20"/>
        </w:trPr>
        <w:tc>
          <w:tcPr>
            <w:tcW w:w="5000" w:type="pct"/>
            <w:gridSpan w:val="7"/>
          </w:tcPr>
          <w:p w14:paraId="1A0F38E3" w14:textId="77777777" w:rsidR="00017083" w:rsidRPr="00E53ACE" w:rsidRDefault="00E53ACE" w:rsidP="006242AA">
            <w:pPr>
              <w:pStyle w:val="TableParagraph"/>
              <w:ind w:left="0" w:firstLine="43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Insider information disclosure on issue No. 2: On approval of the report on the results of the Company's investment program for 2018.</w:t>
            </w:r>
          </w:p>
        </w:tc>
      </w:tr>
      <w:tr w:rsidR="00AD650B" w:rsidRPr="00E53ACE" w14:paraId="22E44CF1" w14:textId="77777777" w:rsidTr="006242AA">
        <w:trPr>
          <w:trHeight w:val="20"/>
        </w:trPr>
        <w:tc>
          <w:tcPr>
            <w:tcW w:w="5000" w:type="pct"/>
            <w:gridSpan w:val="7"/>
          </w:tcPr>
          <w:p w14:paraId="653B0B2C" w14:textId="77777777" w:rsidR="00017083" w:rsidRPr="00E53ACE" w:rsidRDefault="00E53ACE" w:rsidP="006242AA">
            <w:pPr>
              <w:pStyle w:val="TableParagraph"/>
              <w:ind w:left="0" w:firstLine="4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2.2.2. Resolution content adopted by the Issuer's Board of Directors:</w:t>
            </w:r>
          </w:p>
          <w:p w14:paraId="2528892D" w14:textId="77777777" w:rsidR="00017083" w:rsidRPr="00E53ACE" w:rsidRDefault="00E53ACE" w:rsidP="006242AA">
            <w:pPr>
              <w:pStyle w:val="TableParagraph"/>
              <w:numPr>
                <w:ilvl w:val="0"/>
                <w:numId w:val="3"/>
              </w:numPr>
              <w:tabs>
                <w:tab w:val="left" w:pos="888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Approve the report on the results of the Company's </w:t>
            </w:r>
            <w:r>
              <w:rPr>
                <w:sz w:val="24"/>
                <w:lang w:val="en-US"/>
              </w:rPr>
              <w:t>investment program for 2018 as per Annex 3 hereto.</w:t>
            </w:r>
          </w:p>
          <w:p w14:paraId="1F23564C" w14:textId="77777777" w:rsidR="00017083" w:rsidRPr="00E53ACE" w:rsidRDefault="00E53ACE" w:rsidP="006242AA">
            <w:pPr>
              <w:pStyle w:val="TableParagraph"/>
              <w:numPr>
                <w:ilvl w:val="0"/>
                <w:numId w:val="3"/>
              </w:numPr>
              <w:tabs>
                <w:tab w:val="left" w:pos="874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Note information on the results of the Company's investment program for 2018 as per Annex No. 4 hereto.</w:t>
            </w:r>
          </w:p>
          <w:p w14:paraId="29B25802" w14:textId="77777777" w:rsidR="00017083" w:rsidRPr="00E53ACE" w:rsidRDefault="00E53ACE" w:rsidP="006242AA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left="0" w:firstLine="4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Instruct the General Director of the Company:</w:t>
            </w:r>
          </w:p>
          <w:p w14:paraId="39E7199F" w14:textId="77777777" w:rsidR="00017083" w:rsidRPr="00E53ACE" w:rsidRDefault="00E53ACE" w:rsidP="006242AA">
            <w:pPr>
              <w:pStyle w:val="TableParagraph"/>
              <w:numPr>
                <w:ilvl w:val="1"/>
                <w:numId w:val="3"/>
              </w:numPr>
              <w:tabs>
                <w:tab w:val="left" w:pos="1037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report to the regular meeting of the Company's </w:t>
            </w:r>
            <w:r>
              <w:rPr>
                <w:sz w:val="24"/>
                <w:lang w:val="en-US"/>
              </w:rPr>
              <w:t>Board of Directors on measures taken to prevent deviations from the implementation of the Company's investment program in 2019, as specified in paragraph 2 of this resolution.</w:t>
            </w:r>
          </w:p>
          <w:p w14:paraId="71CEBAE1" w14:textId="77777777" w:rsidR="00017083" w:rsidRPr="00E53ACE" w:rsidRDefault="00E53ACE" w:rsidP="006242AA">
            <w:pPr>
              <w:pStyle w:val="TableParagraph"/>
              <w:numPr>
                <w:ilvl w:val="1"/>
                <w:numId w:val="3"/>
              </w:numPr>
              <w:tabs>
                <w:tab w:val="left" w:pos="1044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as part of the report on the results of implementation of the Company's investme</w:t>
            </w:r>
            <w:r>
              <w:rPr>
                <w:sz w:val="24"/>
                <w:lang w:val="en-US"/>
              </w:rPr>
              <w:t>nt program for 2019, to submit to the Board of Directors of the Company a report on measures taken to mitigate the risks of the impact of failure to implement the investment program on tariff and balance resolutions.</w:t>
            </w:r>
          </w:p>
        </w:tc>
      </w:tr>
      <w:tr w:rsidR="00AD650B" w:rsidRPr="00E53ACE" w14:paraId="607BF398" w14:textId="77777777" w:rsidTr="006242AA">
        <w:trPr>
          <w:trHeight w:val="20"/>
        </w:trPr>
        <w:tc>
          <w:tcPr>
            <w:tcW w:w="5000" w:type="pct"/>
            <w:gridSpan w:val="7"/>
          </w:tcPr>
          <w:p w14:paraId="2B686F20" w14:textId="77777777" w:rsidR="00017083" w:rsidRPr="00E53ACE" w:rsidRDefault="00E53ACE" w:rsidP="006242AA">
            <w:pPr>
              <w:pStyle w:val="TableParagraph"/>
              <w:ind w:left="0" w:firstLine="43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Insider information </w:t>
            </w:r>
            <w:r>
              <w:rPr>
                <w:b/>
                <w:sz w:val="24"/>
                <w:lang w:val="en-US"/>
              </w:rPr>
              <w:t>disclosure on issue No. 3: On approval of the business plan of IDGC of the South, PJSC for 2019 and forecast indicators for 2020-2023.</w:t>
            </w:r>
          </w:p>
        </w:tc>
      </w:tr>
      <w:tr w:rsidR="00AD650B" w:rsidRPr="00E53ACE" w14:paraId="70836240" w14:textId="77777777" w:rsidTr="006242AA">
        <w:trPr>
          <w:trHeight w:val="20"/>
        </w:trPr>
        <w:tc>
          <w:tcPr>
            <w:tcW w:w="5000" w:type="pct"/>
            <w:gridSpan w:val="7"/>
          </w:tcPr>
          <w:p w14:paraId="0E3CE750" w14:textId="77777777" w:rsidR="00017083" w:rsidRPr="00E53ACE" w:rsidRDefault="00E53ACE" w:rsidP="006242AA">
            <w:pPr>
              <w:pStyle w:val="TableParagraph"/>
              <w:ind w:left="0" w:firstLine="43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2.2.3. Resolution content adopted by the Issuer's Board of Directors:</w:t>
            </w:r>
          </w:p>
          <w:p w14:paraId="51829A6A" w14:textId="77777777" w:rsidR="00017083" w:rsidRPr="00E53ACE" w:rsidRDefault="00E53ACE" w:rsidP="006242AA">
            <w:pPr>
              <w:pStyle w:val="TableParagraph"/>
              <w:numPr>
                <w:ilvl w:val="0"/>
                <w:numId w:val="2"/>
              </w:numPr>
              <w:tabs>
                <w:tab w:val="left" w:pos="879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Approve the business plan of IDGC of the South, PJ</w:t>
            </w:r>
            <w:r>
              <w:rPr>
                <w:sz w:val="24"/>
                <w:lang w:val="en-US"/>
              </w:rPr>
              <w:t>SC for 2019 and to take into account the forecast indicators for 2020-2023 in accordance with Annex 5 to this resolution of the Company's Board of Directors.</w:t>
            </w:r>
          </w:p>
          <w:p w14:paraId="1A6AB0BF" w14:textId="77777777" w:rsidR="00017083" w:rsidRPr="00E53ACE" w:rsidRDefault="00E53ACE" w:rsidP="006242AA">
            <w:pPr>
              <w:pStyle w:val="TableParagraph"/>
              <w:numPr>
                <w:ilvl w:val="0"/>
                <w:numId w:val="2"/>
              </w:numPr>
              <w:tabs>
                <w:tab w:val="left" w:pos="879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Declare invalid the Plan of perspective development of IDGC of the South, PJSC, approved by the re</w:t>
            </w:r>
            <w:r>
              <w:rPr>
                <w:sz w:val="24"/>
                <w:lang w:val="en-US"/>
              </w:rPr>
              <w:t>solution of the Company's Board of Directors dated March 31, 2014 (Minutes No. 129/2014 dated April 3, 2014).</w:t>
            </w:r>
          </w:p>
          <w:p w14:paraId="0A0B59DE" w14:textId="77777777" w:rsidR="00017083" w:rsidRPr="00E53ACE" w:rsidRDefault="00E53ACE" w:rsidP="006242AA">
            <w:pPr>
              <w:pStyle w:val="TableParagraph"/>
              <w:numPr>
                <w:ilvl w:val="0"/>
                <w:numId w:val="2"/>
              </w:numPr>
              <w:tabs>
                <w:tab w:val="left" w:pos="879"/>
              </w:tabs>
              <w:ind w:left="0" w:firstLine="431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Consider the business plan for 2019-2023 according to p. 1 of this resolution the current Plan of perspective development of IDGC of the South, PJ</w:t>
            </w:r>
            <w:r>
              <w:rPr>
                <w:sz w:val="24"/>
                <w:lang w:val="en-US"/>
              </w:rPr>
              <w:t>SC for the period 2019-2023.</w:t>
            </w:r>
          </w:p>
        </w:tc>
      </w:tr>
      <w:tr w:rsidR="00AD650B" w:rsidRPr="00E53ACE" w14:paraId="506F167B" w14:textId="77777777" w:rsidTr="005028EC">
        <w:trPr>
          <w:trHeight w:val="20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14:paraId="7B5D31D3" w14:textId="77777777" w:rsidR="00017083" w:rsidRPr="00E53ACE" w:rsidRDefault="00E53ACE" w:rsidP="006242AA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April 9, 2019.</w:t>
            </w:r>
          </w:p>
          <w:p w14:paraId="414D602B" w14:textId="77777777" w:rsidR="00017083" w:rsidRPr="00E53ACE" w:rsidRDefault="00E53ACE" w:rsidP="006242AA">
            <w:pPr>
              <w:pStyle w:val="TableParagraph"/>
              <w:numPr>
                <w:ilvl w:val="1"/>
                <w:numId w:val="1"/>
              </w:numPr>
              <w:tabs>
                <w:tab w:val="left" w:pos="648"/>
              </w:tabs>
              <w:ind w:left="0" w:firstLine="0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and number of the minutes of the meeting of the Issuer's Board of Directors at which the relevant resolutions were adopted: </w:t>
            </w:r>
            <w:r>
              <w:rPr>
                <w:b/>
                <w:i/>
                <w:sz w:val="24"/>
                <w:lang w:val="en-US"/>
              </w:rPr>
              <w:t>April 12, 2019, Minutes No. 310/2019.</w:t>
            </w:r>
          </w:p>
        </w:tc>
      </w:tr>
      <w:tr w:rsidR="00AD650B" w14:paraId="2E39F923" w14:textId="77777777" w:rsidTr="00502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BE43C0" w14:textId="77777777" w:rsidR="006242AA" w:rsidRDefault="00E53ACE" w:rsidP="000A6561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AD650B" w14:paraId="579A070F" w14:textId="77777777" w:rsidTr="00502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14:paraId="01178C22" w14:textId="77777777" w:rsidR="006242AA" w:rsidRPr="00E53ACE" w:rsidRDefault="00E53ACE" w:rsidP="000A6561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 xml:space="preserve">3.1. Head of Corporate Governance and Shareholder Relations </w:t>
            </w:r>
            <w:r>
              <w:rPr>
                <w:sz w:val="24"/>
                <w:lang w:val="en-US"/>
              </w:rPr>
              <w:t>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14:paraId="7F67B4B6" w14:textId="77777777" w:rsidR="006242AA" w:rsidRPr="00E53ACE" w:rsidRDefault="00E53ACE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14:paraId="488CAB72" w14:textId="77777777" w:rsidR="006242AA" w:rsidRDefault="00E53ACE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AD650B" w14:paraId="25255558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14:paraId="4B0DB1B3" w14:textId="77777777" w:rsidR="006242AA" w:rsidRDefault="00E53ACE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14:paraId="67670567" w14:textId="7B3CC200" w:rsidR="006242AA" w:rsidRDefault="00E53ACE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(signature) L</w:t>
            </w:r>
            <w:r>
              <w:rPr>
                <w:lang w:val="en-US"/>
              </w:rPr>
              <w:t>.S</w:t>
            </w:r>
            <w:bookmarkStart w:id="0" w:name="_GoBack"/>
            <w:bookmarkEnd w:id="0"/>
            <w:r>
              <w:rPr>
                <w:lang w:val="en-US"/>
              </w:rPr>
              <w:t>.</w:t>
            </w:r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14:paraId="76473767" w14:textId="77777777" w:rsidR="006242AA" w:rsidRDefault="00E53ACE" w:rsidP="000A6561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AD650B" w14:paraId="478FEC04" w14:textId="77777777" w:rsidTr="000A65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14:paraId="2447CC3D" w14:textId="77777777" w:rsidR="006242AA" w:rsidRDefault="00E53ACE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14:paraId="71730DA2" w14:textId="77777777" w:rsidR="006242AA" w:rsidRPr="00F33787" w:rsidRDefault="00E53ACE" w:rsidP="006242AA">
            <w:pPr>
              <w:pStyle w:val="TableParagraph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April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14:paraId="65DEF902" w14:textId="77777777" w:rsidR="006242AA" w:rsidRPr="00F33787" w:rsidRDefault="00E53ACE" w:rsidP="000A656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"15",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3603B6FE" w14:textId="77777777" w:rsidR="006242AA" w:rsidRPr="00F33787" w:rsidRDefault="00E53ACE" w:rsidP="000A6561">
            <w:pPr>
              <w:pStyle w:val="TableParagraph"/>
              <w:spacing w:after="120"/>
              <w:ind w:left="0"/>
              <w:rPr>
                <w:sz w:val="24"/>
              </w:rPr>
            </w:pPr>
            <w:r w:rsidRPr="00F33787">
              <w:rPr>
                <w:sz w:val="24"/>
                <w:lang w:val="en-US"/>
              </w:rPr>
              <w:t>2019</w:t>
            </w:r>
          </w:p>
        </w:tc>
      </w:tr>
    </w:tbl>
    <w:p w14:paraId="775E22B3" w14:textId="77777777" w:rsidR="006242AA" w:rsidRDefault="00E53ACE" w:rsidP="006242AA"/>
    <w:p w14:paraId="716637A4" w14:textId="77777777" w:rsidR="006242AA" w:rsidRDefault="00E53ACE" w:rsidP="006242AA"/>
    <w:sectPr w:rsidR="006242AA" w:rsidSect="006242AA">
      <w:headerReference w:type="default" r:id="rId10"/>
      <w:pgSz w:w="11910" w:h="16850"/>
      <w:pgMar w:top="1440" w:right="1080" w:bottom="1440" w:left="1080" w:header="725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FE573" w14:textId="77777777" w:rsidR="00000000" w:rsidRDefault="00E53ACE">
      <w:r>
        <w:separator/>
      </w:r>
    </w:p>
  </w:endnote>
  <w:endnote w:type="continuationSeparator" w:id="0">
    <w:p w14:paraId="467A9724" w14:textId="77777777" w:rsidR="00000000" w:rsidRDefault="00E5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19047" w14:textId="77777777" w:rsidR="00000000" w:rsidRDefault="00E53ACE">
      <w:r>
        <w:separator/>
      </w:r>
    </w:p>
  </w:footnote>
  <w:footnote w:type="continuationSeparator" w:id="0">
    <w:p w14:paraId="132275AB" w14:textId="77777777" w:rsidR="00000000" w:rsidRDefault="00E53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CB13E" w14:textId="77777777" w:rsidR="00017083" w:rsidRPr="006242AA" w:rsidRDefault="00E53ACE" w:rsidP="006242A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B62F4"/>
    <w:multiLevelType w:val="hybridMultilevel"/>
    <w:tmpl w:val="0C743E54"/>
    <w:lvl w:ilvl="0" w:tplc="BBF42968">
      <w:start w:val="1"/>
      <w:numFmt w:val="decimal"/>
      <w:lvlText w:val="%1."/>
      <w:lvlJc w:val="left"/>
      <w:pPr>
        <w:ind w:left="26" w:hanging="28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F8FED1D4">
      <w:numFmt w:val="bullet"/>
      <w:lvlText w:val="•"/>
      <w:lvlJc w:val="left"/>
      <w:pPr>
        <w:ind w:left="980" w:hanging="286"/>
      </w:pPr>
      <w:rPr>
        <w:rFonts w:hint="default"/>
        <w:lang w:val="ru-RU" w:eastAsia="ru-RU" w:bidi="ru-RU"/>
      </w:rPr>
    </w:lvl>
    <w:lvl w:ilvl="2" w:tplc="3AE25598">
      <w:numFmt w:val="bullet"/>
      <w:lvlText w:val="•"/>
      <w:lvlJc w:val="left"/>
      <w:pPr>
        <w:ind w:left="1941" w:hanging="286"/>
      </w:pPr>
      <w:rPr>
        <w:rFonts w:hint="default"/>
        <w:lang w:val="ru-RU" w:eastAsia="ru-RU" w:bidi="ru-RU"/>
      </w:rPr>
    </w:lvl>
    <w:lvl w:ilvl="3" w:tplc="1FB6DC4E">
      <w:numFmt w:val="bullet"/>
      <w:lvlText w:val="•"/>
      <w:lvlJc w:val="left"/>
      <w:pPr>
        <w:ind w:left="2902" w:hanging="286"/>
      </w:pPr>
      <w:rPr>
        <w:rFonts w:hint="default"/>
        <w:lang w:val="ru-RU" w:eastAsia="ru-RU" w:bidi="ru-RU"/>
      </w:rPr>
    </w:lvl>
    <w:lvl w:ilvl="4" w:tplc="4F4ED6AC">
      <w:numFmt w:val="bullet"/>
      <w:lvlText w:val="•"/>
      <w:lvlJc w:val="left"/>
      <w:pPr>
        <w:ind w:left="3863" w:hanging="286"/>
      </w:pPr>
      <w:rPr>
        <w:rFonts w:hint="default"/>
        <w:lang w:val="ru-RU" w:eastAsia="ru-RU" w:bidi="ru-RU"/>
      </w:rPr>
    </w:lvl>
    <w:lvl w:ilvl="5" w:tplc="395AAD98">
      <w:numFmt w:val="bullet"/>
      <w:lvlText w:val="•"/>
      <w:lvlJc w:val="left"/>
      <w:pPr>
        <w:ind w:left="4824" w:hanging="286"/>
      </w:pPr>
      <w:rPr>
        <w:rFonts w:hint="default"/>
        <w:lang w:val="ru-RU" w:eastAsia="ru-RU" w:bidi="ru-RU"/>
      </w:rPr>
    </w:lvl>
    <w:lvl w:ilvl="6" w:tplc="2FF2B78C">
      <w:numFmt w:val="bullet"/>
      <w:lvlText w:val="•"/>
      <w:lvlJc w:val="left"/>
      <w:pPr>
        <w:ind w:left="5784" w:hanging="286"/>
      </w:pPr>
      <w:rPr>
        <w:rFonts w:hint="default"/>
        <w:lang w:val="ru-RU" w:eastAsia="ru-RU" w:bidi="ru-RU"/>
      </w:rPr>
    </w:lvl>
    <w:lvl w:ilvl="7" w:tplc="2B86F72E">
      <w:numFmt w:val="bullet"/>
      <w:lvlText w:val="•"/>
      <w:lvlJc w:val="left"/>
      <w:pPr>
        <w:ind w:left="6745" w:hanging="286"/>
      </w:pPr>
      <w:rPr>
        <w:rFonts w:hint="default"/>
        <w:lang w:val="ru-RU" w:eastAsia="ru-RU" w:bidi="ru-RU"/>
      </w:rPr>
    </w:lvl>
    <w:lvl w:ilvl="8" w:tplc="533A6AF6">
      <w:numFmt w:val="bullet"/>
      <w:lvlText w:val="•"/>
      <w:lvlJc w:val="left"/>
      <w:pPr>
        <w:ind w:left="7706" w:hanging="286"/>
      </w:pPr>
      <w:rPr>
        <w:rFonts w:hint="default"/>
        <w:lang w:val="ru-RU" w:eastAsia="ru-RU" w:bidi="ru-RU"/>
      </w:rPr>
    </w:lvl>
  </w:abstractNum>
  <w:abstractNum w:abstractNumId="1" w15:restartNumberingAfterBreak="0">
    <w:nsid w:val="53F64DBC"/>
    <w:multiLevelType w:val="multilevel"/>
    <w:tmpl w:val="CE8C8C62"/>
    <w:lvl w:ilvl="0">
      <w:start w:val="2"/>
      <w:numFmt w:val="decimal"/>
      <w:lvlText w:val="%1"/>
      <w:lvlJc w:val="left"/>
      <w:pPr>
        <w:ind w:left="139" w:hanging="420"/>
        <w:jc w:val="left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139" w:hanging="420"/>
        <w:jc w:val="left"/>
      </w:pPr>
      <w:rPr>
        <w:rFonts w:ascii="Times New Roman" w:eastAsia="Times New Roman" w:hAnsi="Times New Roman" w:cs="Times New Roman" w:hint="default"/>
        <w:b w:val="0"/>
        <w:i w:val="0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7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6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5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4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1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0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57690E10"/>
    <w:multiLevelType w:val="multilevel"/>
    <w:tmpl w:val="F6A4BDC8"/>
    <w:lvl w:ilvl="0">
      <w:start w:val="1"/>
      <w:numFmt w:val="decimal"/>
      <w:lvlText w:val="%1."/>
      <w:lvlJc w:val="left"/>
      <w:pPr>
        <w:ind w:left="26" w:hanging="2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41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02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63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4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84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5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06" w:hanging="444"/>
      </w:pPr>
      <w:rPr>
        <w:rFonts w:hint="default"/>
        <w:lang w:val="ru-RU" w:eastAsia="ru-RU" w:bidi="ru-RU"/>
      </w:rPr>
    </w:lvl>
  </w:abstractNum>
  <w:abstractNum w:abstractNumId="3" w15:restartNumberingAfterBreak="0">
    <w:nsid w:val="7A916FDA"/>
    <w:multiLevelType w:val="hybridMultilevel"/>
    <w:tmpl w:val="95E03CDC"/>
    <w:lvl w:ilvl="0" w:tplc="46FC984C">
      <w:start w:val="1"/>
      <w:numFmt w:val="decimal"/>
      <w:lvlText w:val="%1."/>
      <w:lvlJc w:val="left"/>
      <w:pPr>
        <w:ind w:left="26" w:hanging="2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38CBA24">
      <w:numFmt w:val="bullet"/>
      <w:lvlText w:val="•"/>
      <w:lvlJc w:val="left"/>
      <w:pPr>
        <w:ind w:left="980" w:hanging="257"/>
      </w:pPr>
      <w:rPr>
        <w:rFonts w:hint="default"/>
        <w:lang w:val="ru-RU" w:eastAsia="ru-RU" w:bidi="ru-RU"/>
      </w:rPr>
    </w:lvl>
    <w:lvl w:ilvl="2" w:tplc="A0BA87CE">
      <w:numFmt w:val="bullet"/>
      <w:lvlText w:val="•"/>
      <w:lvlJc w:val="left"/>
      <w:pPr>
        <w:ind w:left="1941" w:hanging="257"/>
      </w:pPr>
      <w:rPr>
        <w:rFonts w:hint="default"/>
        <w:lang w:val="ru-RU" w:eastAsia="ru-RU" w:bidi="ru-RU"/>
      </w:rPr>
    </w:lvl>
    <w:lvl w:ilvl="3" w:tplc="49B40D72">
      <w:numFmt w:val="bullet"/>
      <w:lvlText w:val="•"/>
      <w:lvlJc w:val="left"/>
      <w:pPr>
        <w:ind w:left="2902" w:hanging="257"/>
      </w:pPr>
      <w:rPr>
        <w:rFonts w:hint="default"/>
        <w:lang w:val="ru-RU" w:eastAsia="ru-RU" w:bidi="ru-RU"/>
      </w:rPr>
    </w:lvl>
    <w:lvl w:ilvl="4" w:tplc="2656FDEC">
      <w:numFmt w:val="bullet"/>
      <w:lvlText w:val="•"/>
      <w:lvlJc w:val="left"/>
      <w:pPr>
        <w:ind w:left="3863" w:hanging="257"/>
      </w:pPr>
      <w:rPr>
        <w:rFonts w:hint="default"/>
        <w:lang w:val="ru-RU" w:eastAsia="ru-RU" w:bidi="ru-RU"/>
      </w:rPr>
    </w:lvl>
    <w:lvl w:ilvl="5" w:tplc="CB2CE166">
      <w:numFmt w:val="bullet"/>
      <w:lvlText w:val="•"/>
      <w:lvlJc w:val="left"/>
      <w:pPr>
        <w:ind w:left="4824" w:hanging="257"/>
      </w:pPr>
      <w:rPr>
        <w:rFonts w:hint="default"/>
        <w:lang w:val="ru-RU" w:eastAsia="ru-RU" w:bidi="ru-RU"/>
      </w:rPr>
    </w:lvl>
    <w:lvl w:ilvl="6" w:tplc="BB9CC378">
      <w:numFmt w:val="bullet"/>
      <w:lvlText w:val="•"/>
      <w:lvlJc w:val="left"/>
      <w:pPr>
        <w:ind w:left="5785" w:hanging="257"/>
      </w:pPr>
      <w:rPr>
        <w:rFonts w:hint="default"/>
        <w:lang w:val="ru-RU" w:eastAsia="ru-RU" w:bidi="ru-RU"/>
      </w:rPr>
    </w:lvl>
    <w:lvl w:ilvl="7" w:tplc="5290F58A">
      <w:numFmt w:val="bullet"/>
      <w:lvlText w:val="•"/>
      <w:lvlJc w:val="left"/>
      <w:pPr>
        <w:ind w:left="6746" w:hanging="257"/>
      </w:pPr>
      <w:rPr>
        <w:rFonts w:hint="default"/>
        <w:lang w:val="ru-RU" w:eastAsia="ru-RU" w:bidi="ru-RU"/>
      </w:rPr>
    </w:lvl>
    <w:lvl w:ilvl="8" w:tplc="46720E12">
      <w:numFmt w:val="bullet"/>
      <w:lvlText w:val="•"/>
      <w:lvlJc w:val="left"/>
      <w:pPr>
        <w:ind w:left="7707" w:hanging="257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650B"/>
    <w:rsid w:val="00AD650B"/>
    <w:rsid w:val="00E5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3674E"/>
  <w15:docId w15:val="{8E53124C-A2E5-443B-B4E6-8E875387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1708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0170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7083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17083"/>
  </w:style>
  <w:style w:type="paragraph" w:customStyle="1" w:styleId="TableParagraph">
    <w:name w:val="Table Paragraph"/>
    <w:basedOn w:val="a"/>
    <w:uiPriority w:val="1"/>
    <w:qFormat/>
    <w:rsid w:val="00017083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624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242AA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6242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42AA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Елизавета Пантина</cp:lastModifiedBy>
  <cp:revision>4</cp:revision>
  <dcterms:created xsi:type="dcterms:W3CDTF">2019-12-28T21:00:00Z</dcterms:created>
  <dcterms:modified xsi:type="dcterms:W3CDTF">2020-01-20T13:44:00Z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